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EA2088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386715</wp:posOffset>
            </wp:positionV>
            <wp:extent cx="2028825" cy="2752725"/>
            <wp:effectExtent l="19050" t="0" r="9525" b="0"/>
            <wp:wrapSquare wrapText="bothSides"/>
            <wp:docPr id="3" name="Рисунок 1" descr="C:\Documents and Settings\какангел\Мои документы\Dropbox\Интернаука_Дизайн\Обложки\2014\28\PNG\5053 ИН_2014_Биология_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8\PNG\5053 ИН_2014_Биология_2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6D070A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  <w:lang w:val="en-US"/>
        </w:rPr>
        <w:t>X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6C7BEA">
        <w:rPr>
          <w:b/>
          <w:color w:val="000000"/>
          <w:sz w:val="28"/>
          <w:szCs w:val="28"/>
        </w:rPr>
        <w:t>2</w:t>
      </w:r>
      <w:r w:rsidR="00EA2088">
        <w:rPr>
          <w:b/>
          <w:color w:val="000000"/>
          <w:sz w:val="28"/>
          <w:szCs w:val="28"/>
        </w:rPr>
        <w:t>9</w:t>
      </w:r>
      <w:r w:rsidR="00DC08EE" w:rsidRPr="007A3705">
        <w:rPr>
          <w:b/>
          <w:color w:val="000000"/>
          <w:sz w:val="28"/>
          <w:szCs w:val="28"/>
        </w:rPr>
        <w:t xml:space="preserve"> </w:t>
      </w:r>
      <w:r w:rsidR="006D070A">
        <w:rPr>
          <w:b/>
          <w:color w:val="000000"/>
          <w:sz w:val="28"/>
          <w:szCs w:val="28"/>
        </w:rPr>
        <w:t>ию</w:t>
      </w:r>
      <w:r w:rsidR="00EA2088">
        <w:rPr>
          <w:b/>
          <w:color w:val="000000"/>
          <w:sz w:val="28"/>
          <w:szCs w:val="28"/>
        </w:rPr>
        <w:t>л</w:t>
      </w:r>
      <w:r w:rsidR="006D070A">
        <w:rPr>
          <w:b/>
          <w:color w:val="000000"/>
          <w:sz w:val="28"/>
          <w:szCs w:val="28"/>
        </w:rPr>
        <w:t>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.14 Физика и технология наноструктур,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D070A" w:rsidRDefault="006D070A" w:rsidP="006D070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62C6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Условия оплаты: 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180 руб. за страницу полную и неполную, 150 руб. пересылка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почтой России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одного экземпляра сборника по РФ, 300 руб. по СНГ, 500 р. дальнее зарубежье.  Дополнительные сборники – 350 руб./ экз. (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пересылка осуществляется бесплатно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справка в электронном виде о принятии статьи к публикации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, предъявляемая по месту</w:t>
      </w:r>
      <w:r w:rsidRPr="00DC1DC6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62C6E">
        <w:rPr>
          <w:rFonts w:ascii="Times New Roman" w:hAnsi="Times New Roman" w:cs="Times New Roman"/>
          <w:color w:val="222222"/>
          <w:sz w:val="24"/>
          <w:szCs w:val="24"/>
        </w:rPr>
        <w:t>требования,</w:t>
      </w:r>
      <w:r w:rsidRPr="00162C6E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162C6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50 р./шт. </w:t>
      </w:r>
      <w:r w:rsidRPr="00162C6E">
        <w:rPr>
          <w:rFonts w:ascii="Times New Roman" w:hAnsi="Times New Roman" w:cs="Times New Roman"/>
          <w:color w:val="000000"/>
          <w:sz w:val="24"/>
          <w:szCs w:val="24"/>
        </w:rPr>
        <w:t xml:space="preserve"> Желающим выдается сертификат участника (100 руб.). </w:t>
      </w:r>
      <w:r w:rsidRPr="00162C6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162C6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6C7BEA" w:rsidRPr="006C7BEA">
        <w:rPr>
          <w:color w:val="000000"/>
        </w:rPr>
        <w:t>2</w:t>
      </w:r>
      <w:r w:rsidR="00EA2088">
        <w:rPr>
          <w:color w:val="000000"/>
        </w:rPr>
        <w:t>9</w:t>
      </w:r>
      <w:r w:rsidR="00392C34">
        <w:rPr>
          <w:color w:val="000000"/>
        </w:rPr>
        <w:t xml:space="preserve"> </w:t>
      </w:r>
      <w:r w:rsidR="006D070A">
        <w:rPr>
          <w:color w:val="000000"/>
        </w:rPr>
        <w:t>ию</w:t>
      </w:r>
      <w:r w:rsidR="00EA2088">
        <w:rPr>
          <w:color w:val="000000"/>
        </w:rPr>
        <w:t>л</w:t>
      </w:r>
      <w:r w:rsidR="006D070A">
        <w:rPr>
          <w:color w:val="000000"/>
        </w:rPr>
        <w:t>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D6D46" w:rsidRPr="0011176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  <w:bookmarkStart w:id="0" w:name="_GoBack"/>
      <w:bookmarkEnd w:id="0"/>
    </w:p>
    <w:sectPr w:rsidR="007D6D46" w:rsidRPr="00B251D9" w:rsidSect="00EB2814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A2C" w:rsidRDefault="00622A2C" w:rsidP="00C23EE0">
      <w:pPr>
        <w:spacing w:after="0" w:line="240" w:lineRule="auto"/>
      </w:pPr>
      <w:r>
        <w:separator/>
      </w:r>
    </w:p>
  </w:endnote>
  <w:endnote w:type="continuationSeparator" w:id="1">
    <w:p w:rsidR="00622A2C" w:rsidRDefault="00622A2C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A2C" w:rsidRDefault="00622A2C" w:rsidP="00C23EE0">
      <w:pPr>
        <w:spacing w:after="0" w:line="240" w:lineRule="auto"/>
      </w:pPr>
      <w:r>
        <w:separator/>
      </w:r>
    </w:p>
  </w:footnote>
  <w:footnote w:type="continuationSeparator" w:id="1">
    <w:p w:rsidR="00622A2C" w:rsidRDefault="00622A2C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AF8"/>
    <w:rsid w:val="000126B6"/>
    <w:rsid w:val="0001528E"/>
    <w:rsid w:val="00022CCB"/>
    <w:rsid w:val="00030A8F"/>
    <w:rsid w:val="0005787B"/>
    <w:rsid w:val="00061753"/>
    <w:rsid w:val="00076231"/>
    <w:rsid w:val="000847E4"/>
    <w:rsid w:val="00093B97"/>
    <w:rsid w:val="0009542C"/>
    <w:rsid w:val="000B4F8B"/>
    <w:rsid w:val="000D0F51"/>
    <w:rsid w:val="0011176A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22DB"/>
    <w:rsid w:val="00244662"/>
    <w:rsid w:val="002468B2"/>
    <w:rsid w:val="00247988"/>
    <w:rsid w:val="00250533"/>
    <w:rsid w:val="00250908"/>
    <w:rsid w:val="002542D0"/>
    <w:rsid w:val="00256BD3"/>
    <w:rsid w:val="00263967"/>
    <w:rsid w:val="002647E3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7C0"/>
    <w:rsid w:val="003835C5"/>
    <w:rsid w:val="00392C34"/>
    <w:rsid w:val="003A33F2"/>
    <w:rsid w:val="003B42C4"/>
    <w:rsid w:val="003D1E10"/>
    <w:rsid w:val="003E6B5E"/>
    <w:rsid w:val="003F2A7E"/>
    <w:rsid w:val="00446C4F"/>
    <w:rsid w:val="00447EA0"/>
    <w:rsid w:val="00457FD0"/>
    <w:rsid w:val="00472A79"/>
    <w:rsid w:val="004917A7"/>
    <w:rsid w:val="004A374E"/>
    <w:rsid w:val="004B01B0"/>
    <w:rsid w:val="004C3FFC"/>
    <w:rsid w:val="004D201C"/>
    <w:rsid w:val="004D3F16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C6717"/>
    <w:rsid w:val="005E2D28"/>
    <w:rsid w:val="005E43AB"/>
    <w:rsid w:val="005F0F8F"/>
    <w:rsid w:val="00615F03"/>
    <w:rsid w:val="00622A2C"/>
    <w:rsid w:val="006277CF"/>
    <w:rsid w:val="006442BD"/>
    <w:rsid w:val="0066548F"/>
    <w:rsid w:val="00673888"/>
    <w:rsid w:val="0069742B"/>
    <w:rsid w:val="006C5D30"/>
    <w:rsid w:val="006C7BEA"/>
    <w:rsid w:val="006D070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36AF"/>
    <w:rsid w:val="00954E66"/>
    <w:rsid w:val="00982BD9"/>
    <w:rsid w:val="00984766"/>
    <w:rsid w:val="00995148"/>
    <w:rsid w:val="009B4C24"/>
    <w:rsid w:val="009C18FE"/>
    <w:rsid w:val="009C502D"/>
    <w:rsid w:val="009D2DEA"/>
    <w:rsid w:val="009D5533"/>
    <w:rsid w:val="009E47DE"/>
    <w:rsid w:val="009E62BF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06685"/>
    <w:rsid w:val="00C20384"/>
    <w:rsid w:val="00C23EE0"/>
    <w:rsid w:val="00C2736A"/>
    <w:rsid w:val="00C66507"/>
    <w:rsid w:val="00C94153"/>
    <w:rsid w:val="00CF580B"/>
    <w:rsid w:val="00D27A31"/>
    <w:rsid w:val="00D31B79"/>
    <w:rsid w:val="00D62E47"/>
    <w:rsid w:val="00D661B1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A2088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1A69"/>
    <w:rsid w:val="00FA621D"/>
    <w:rsid w:val="00FB000F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themat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13</cp:revision>
  <dcterms:created xsi:type="dcterms:W3CDTF">2013-12-11T13:25:00Z</dcterms:created>
  <dcterms:modified xsi:type="dcterms:W3CDTF">2014-05-04T05:54:00Z</dcterms:modified>
</cp:coreProperties>
</file>